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2021年省总工会驻会产业工会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公开遴选机关工作人员职位计划表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13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254"/>
        <w:gridCol w:w="732"/>
        <w:gridCol w:w="1662"/>
        <w:gridCol w:w="2554"/>
        <w:gridCol w:w="781"/>
        <w:gridCol w:w="607"/>
        <w:gridCol w:w="1646"/>
        <w:gridCol w:w="599"/>
        <w:gridCol w:w="8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职位代码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招录单位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遴选人数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职位简介</w:t>
            </w:r>
          </w:p>
        </w:tc>
        <w:tc>
          <w:tcPr>
            <w:tcW w:w="8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专业条件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目录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目录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省农垦工会委员会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国家统一招生的</w:t>
            </w:r>
            <w:r>
              <w:rPr>
                <w:rFonts w:hint="eastAsia" w:ascii="宋体" w:hAnsi="宋体" w:cs="宋体"/>
                <w:sz w:val="24"/>
              </w:rPr>
              <w:t>全日制普通高等院校大学本科及以上学历，并取得相应学位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限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省农垦工会委员会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省林业工会委员会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省林业工会委员会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省水利工会委员会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省水利工会委员会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省交通工会委员会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省交通工会委员会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省监狱工会委员会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省监狱工会委员会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从事文字综合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不限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FA8"/>
    <w:rsid w:val="014669EC"/>
    <w:rsid w:val="01DE24E1"/>
    <w:rsid w:val="032441B3"/>
    <w:rsid w:val="04892CA1"/>
    <w:rsid w:val="09560195"/>
    <w:rsid w:val="0C674D4C"/>
    <w:rsid w:val="0D625A59"/>
    <w:rsid w:val="245F417E"/>
    <w:rsid w:val="2AF34D91"/>
    <w:rsid w:val="2C111820"/>
    <w:rsid w:val="2E8A4002"/>
    <w:rsid w:val="2EDF4601"/>
    <w:rsid w:val="32E40D72"/>
    <w:rsid w:val="33240966"/>
    <w:rsid w:val="343F62F6"/>
    <w:rsid w:val="357017AF"/>
    <w:rsid w:val="360C30A1"/>
    <w:rsid w:val="472D4A62"/>
    <w:rsid w:val="4C827F50"/>
    <w:rsid w:val="52960790"/>
    <w:rsid w:val="531811A7"/>
    <w:rsid w:val="5D0846B3"/>
    <w:rsid w:val="60FE1BB5"/>
    <w:rsid w:val="626A3AF9"/>
    <w:rsid w:val="62EB6366"/>
    <w:rsid w:val="6AEE149F"/>
    <w:rsid w:val="6D6A5E2B"/>
    <w:rsid w:val="743E670B"/>
    <w:rsid w:val="762477AE"/>
    <w:rsid w:val="78217F52"/>
    <w:rsid w:val="7A4E1122"/>
    <w:rsid w:val="7EFF1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刘东利</cp:lastModifiedBy>
  <dcterms:modified xsi:type="dcterms:W3CDTF">2021-03-05T06:36:41Z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