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widowControl/>
        <w:spacing w:line="580" w:lineRule="exact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黑体" w:hAnsi="黑体" w:eastAsia="黑体"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instrText xml:space="preserve"> HYPERLINK "http://www.aydj.gov.cn/uploadall/20230523093445130059.docx" \t "http://www.aydj.gov.cn/aydj/_blank" </w:instrTex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fldChar w:fldCharType="separate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安阳市政协委员服务中心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公开选调事业单位工作人员考察人选名单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fldChar w:fldCharType="end"/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5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76"/>
        <w:gridCol w:w="113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郝亮亮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宋欣悦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王振杰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郝婧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</w:tr>
    </w:tbl>
    <w:p>
      <w:pPr>
        <w:spacing w:line="600" w:lineRule="exact"/>
        <w:ind w:right="640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OWE3OWViYzQ2MDVhNmYyMjYxYjRmMThjNDMyYzUifQ=="/>
  </w:docVars>
  <w:rsids>
    <w:rsidRoot w:val="14212807"/>
    <w:rsid w:val="142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2023-06-25T02:45:00Z</dcterms:created>
  <dc:creator>水墨青花</dc:creator>
  <cp:lastModifiedBy>水墨青花</cp:lastModifiedBy>
  <cp:lastPrinted>2023-06-25T02:48:58Z</cp:lastPrinted>
  <dcterms:modified xsi:type="dcterms:W3CDTF">2023-06-25T02:50:59Z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4D3B691745CB44438B923543C269B6E8_11</vt:lpwstr>
  </property>
</Properties>
</file>